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Не допускается монтаж и использование на транспортных средствах шин не предусмотренных типоразмеров и назначения, а также шин (покрышек) с предельно изношенным или отслоившимся протектором, поврежденными бортами или значительными местными повреждениями протектора и боковин.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Не допускается монтировать шину на обод колеса, если: обод и диск имеют повреждения или деформацию; замочное кольцо деформировано, неплотно прилегает к ободу и устанавливается с большим усилием;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ремонт (вулканизация) камеры, покрышки выполнен некачественно и не обеспечивает требуемой герметичности;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воздушный вентиль слабо укреплен на камере шины.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 процессе накачки шины необходимо вести постоянное наблюдение и контроль за: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показаниями манометра, не допуская повышения давления воздуха в шине выше установленной нормы (при отсутствии автоматического ограничителя или регулятора давления);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положением замочного кольца, которое должно равномерно войти в обод и стать заподлицо с кромкой бортового кольца.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Манометры, контролирующие давление воздуха в шинах при накачке, должны проходить регулярную поверку в установленном порядке и быть опломбированы (иметь клеймо поверки).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Не допускается производить накачку шин при неисправных манометрах, отсутствии пломб (клейма поверки) и нарушении сроков испытания (поверки) манометров.</w:t>
      </w:r>
    </w:p>
    <w:p w:rsidR="00C57475" w:rsidRPr="00BB2F61" w:rsidRDefault="006005D8" w:rsidP="00CA6C1D">
      <w:pPr>
        <w:spacing w:before="240"/>
        <w:ind w:left="3402"/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B2F61">
        <w:rPr>
          <w:rFonts w:ascii="Arial Narrow" w:hAnsi="Arial Narrow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FBD70A1" wp14:editId="5196D124">
            <wp:simplePos x="0" y="0"/>
            <wp:positionH relativeFrom="margin">
              <wp:posOffset>211455</wp:posOffset>
            </wp:positionH>
            <wp:positionV relativeFrom="margin">
              <wp:posOffset>5444490</wp:posOffset>
            </wp:positionV>
            <wp:extent cx="1181100" cy="1181100"/>
            <wp:effectExtent l="0" t="0" r="0" b="0"/>
            <wp:wrapSquare wrapText="bothSides"/>
            <wp:docPr id="4" name="Рисунок 4" descr="D:\Локальный диск (E)\Единый день охраны труда\Памятки ДОТ\Новая пап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окальный диск (E)\Единый день охраны труда\Памятки ДОТ\Новая папка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475" w:rsidRPr="00BB2F61">
        <w:rPr>
          <w:rFonts w:ascii="Arial Narrow" w:hAnsi="Arial Narrow"/>
          <w:sz w:val="26"/>
          <w:szCs w:val="26"/>
        </w:rPr>
        <w:t>Управление по труду, занятости и социальной защите</w:t>
      </w:r>
      <w:r w:rsidR="00C57475" w:rsidRPr="00BB2F61">
        <w:rPr>
          <w:rFonts w:ascii="Arial Narrow" w:hAnsi="Arial Narrow"/>
          <w:sz w:val="26"/>
          <w:szCs w:val="26"/>
        </w:rPr>
        <w:br/>
        <w:t>Любанского райисполкома</w:t>
      </w:r>
    </w:p>
    <w:p w:rsidR="007A3618" w:rsidRPr="00BB2F61" w:rsidRDefault="00C57475" w:rsidP="00AC4EE0">
      <w:pPr>
        <w:spacing w:after="240"/>
        <w:jc w:val="center"/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B2F61"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7A3618" w:rsidRPr="00BB2F61"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требовани</w:t>
      </w:r>
      <w:r w:rsidR="00BB2F61" w:rsidRPr="00BB2F61"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я</w:t>
      </w:r>
      <w:r w:rsidR="007A3618" w:rsidRPr="00BB2F61"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охраны труда при выполнении </w:t>
      </w:r>
      <w:r w:rsidR="00BB2F61" w:rsidRPr="00BB2F61">
        <w:rPr>
          <w:rFonts w:ascii="Arial Narrow" w:hAnsi="Arial Narrow"/>
          <w:b/>
          <w:caps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шиномонтажных работ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Вследствие невыполнения требований безопасности наибольшее количество несчастных случаев происходит при выполнении шиномонтажных работ.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Перед монтажом необходимо проверить комплектность шины и обода, допускается производить сборку обода с шиной только установленного размера для данной модели транспортного средства.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Монтаж и демонтаж шин следует проводить только при помощи предназначенных для этого устройств, оборудования, приспособлений и инструмента с обязательным применением специальных ограждений, обеспечивающих безопасность работающих.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Демонтаж шины должен выполняться на специальном стенде или с помощью съемного устройства.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Перед монтажом шины необходимо проверить исправность и чистоту обода, бортового и замочного колец, а также шины.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После монтажа шины на обод необходимо проверить положение вентиля и посадку бортов покрышки на полки обода колеса.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Установка замочного кольца на колесо должна выполняться с помощью специальной монтажной лопатки без применения ударного действия.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При установке сдвоенных колес на ось транспортного средства необходимо совместить окна дисков обоих колес для обеспечения возможности подхода к вентилю шины внутреннего колеса при замере или подкачке внутреннего давления в шине без снятия наружного колеса.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156845</wp:posOffset>
            </wp:positionV>
            <wp:extent cx="2396490" cy="1609725"/>
            <wp:effectExtent l="0" t="0" r="3810" b="9525"/>
            <wp:wrapTight wrapText="bothSides">
              <wp:wrapPolygon edited="0">
                <wp:start x="0" y="0"/>
                <wp:lineTo x="0" y="21472"/>
                <wp:lineTo x="21463" y="21472"/>
                <wp:lineTo x="21463" y="0"/>
                <wp:lineTo x="0" y="0"/>
              </wp:wrapPolygon>
            </wp:wrapTight>
            <wp:docPr id="1" name="Рисунок 1" descr="D:\Новая папка\gen340x2_1968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gen340x2_1968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F61">
        <w:rPr>
          <w:rFonts w:ascii="Arial Narrow" w:hAnsi="Arial Narrow"/>
          <w:sz w:val="26"/>
          <w:szCs w:val="26"/>
        </w:rPr>
        <w:t>При проведении монтажных работ необходимо следить за тем, чтобы обозначения одинарных шин и наружных шин сдвоенных колес находились снаружи транспортного средства, обозначения внутренних шин были обращены внутрь транспортного средства.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 xml:space="preserve">Замочное кольцо при монтаже шины на диск колеса должно </w:t>
      </w:r>
      <w:r w:rsidRPr="00BB2F61">
        <w:rPr>
          <w:rFonts w:ascii="Arial Narrow" w:hAnsi="Arial Narrow"/>
          <w:sz w:val="26"/>
          <w:szCs w:val="26"/>
        </w:rPr>
        <w:lastRenderedPageBreak/>
        <w:t>надежно входить в выемку обода всей внутренней поверхностью.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Не допускается: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демонтаж с обода шин, находящихся под давлением; снятие с транспортного средства колеса с разборными ободьями, когда шина находится под давлением; выбивать диск кувалдой (молотком);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при накачивании шины воздухом исправлять ее положение на диске постукиванием;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монтировать шины на диски колес, не соответствующие размеру шин;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во время накачивания шины ударять по замочному кольцу кувалдой (молотком);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накачивать шины свыше установленной организацией-изготовителем нормы;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перекатывать вручную колеса, диски и шины. Следует пользоваться для этой цели специальными тележками или тельферами;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применять при монтаже шины замочные и бортовые кольца, не соответствующие данной модели;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демонтаж одного из сдвоенных колес без применения домкрата путем наезда второго сдвоенного колеса на выступающий предмет; заменять золотники различного рода заглушками; накачивать шины на разборных ободьях с болтовыми соединениями, не убедившись, что все гайки затянуты одинаково в соответствии с инструкцией по техническому обслуживанию транспортного средства. Не допускаются к эксплуатации ободья, у которых нет хотя бы одной гайки;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работа на неисправном оборудовании, применение неисправного инструмента и приспособлений;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производство работ без применения необходимых средств коллективной и индивидуальной защиты.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Накачивание шин следует вести в два этапа: вначале до давления 0,05 МПа (0,5 кгс/см2) с проверкой положения замочного кольца, а затем до максимального давления, предписываемого организацией-изготовителем.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 случае обнаружения неправильного положения замочного кольца необходимо выпустить воздух из накачиваемой шины, исправить положение кольца, а затем повторить ранее указанные операции.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 xml:space="preserve">При накачивании шин необходимо пользоваться специальными наконечниками, соединяющими вентиль камеры (шины) со шлангом от воздухораздаточной колонки и обеспечивающими прохождение воздуха </w:t>
      </w:r>
      <w:r w:rsidRPr="00BB2F61">
        <w:rPr>
          <w:rFonts w:ascii="Arial Narrow" w:hAnsi="Arial Narrow"/>
          <w:sz w:val="26"/>
          <w:szCs w:val="26"/>
        </w:rPr>
        <w:t>через золотник.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 случае неплотной посадки бортов шины на полки обода после накачивания воздуха необходимо выпустить воздух из шины, демонтировать ее и устранить причину, вызвавшую неплотную посадку бортов шины, после чего произвести заново монтаж шины на обод, накачку шины и проверку плотности посадки бортов.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Накачивание бескамерных шин производится при повышенной подаче воздуха в начале накачивания.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 целях уменьшения осевого и радиального биения колеса затяжку болтовых соединений обода и колеса необходимо производить в следующей последовательности: сначала завернуть верхнюю гайку, затем диаметрально противоположную ей, остальные гайки завертывать также попарно (крест-накрест).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Подкачка шин без демонтажа производится, если давление воздуха в них снизилось не более чем на 40 % от нормы и есть уверенность, что правильность монтажа не нарушена.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Перед монтажом шины на обод необходимо ее внутри, а камеру снаружи припудрить тальком или покрыть смазкой.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Для предохранения золотников от загрязнения и повреждения все вентили должны быть снабжены металлическими или резиновыми колпачками.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Накачивание шин в сборе с ободом производится в специальном металлическом ограждении, способном защищать обслуживающий персонал от ударов съемными деталями обода при самопроизвольном демонтаже.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На участке накачивания шин должен быть установлен манометр или дозатор давления воздуха.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Во время работы на стенде для демонтажа и монтажа шин редуктор должен быть закрыт кожухом.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Для изъятия из шин металлических предметов, гвоздей следует пользоваться клещами, применение отвертки, шила или ножа не допускается.</w:t>
      </w:r>
    </w:p>
    <w:p w:rsidR="00BB2F61" w:rsidRPr="00BB2F61" w:rsidRDefault="00BB2F61" w:rsidP="00BB2F61">
      <w:pPr>
        <w:pStyle w:val="a6"/>
        <w:widowControl w:val="0"/>
        <w:spacing w:before="0" w:beforeAutospacing="0" w:after="0" w:afterAutospacing="0"/>
        <w:ind w:firstLine="426"/>
        <w:jc w:val="both"/>
        <w:rPr>
          <w:rFonts w:ascii="Arial Narrow" w:hAnsi="Arial Narrow"/>
          <w:sz w:val="26"/>
          <w:szCs w:val="26"/>
        </w:rPr>
      </w:pPr>
      <w:r w:rsidRPr="00BB2F61">
        <w:rPr>
          <w:rFonts w:ascii="Arial Narrow" w:hAnsi="Arial Narrow"/>
          <w:sz w:val="26"/>
          <w:szCs w:val="26"/>
        </w:rPr>
        <w:t>При работе с пневматическим стационарным подъемником для перемещения покрышек большого размера обязательна фиксация поднятой покрышки стопорным устройством.</w:t>
      </w:r>
    </w:p>
    <w:sectPr w:rsidR="00BB2F61" w:rsidRPr="00BB2F61" w:rsidSect="00BB2F61">
      <w:pgSz w:w="16838" w:h="11906" w:orient="landscape"/>
      <w:pgMar w:top="567" w:right="678" w:bottom="510" w:left="567" w:header="709" w:footer="709" w:gutter="0"/>
      <w:pgBorders w:offsetFrom="page">
        <w:top w:val="twistedLines1" w:sz="18" w:space="11" w:color="auto"/>
        <w:left w:val="twistedLines1" w:sz="18" w:space="11" w:color="auto"/>
        <w:bottom w:val="twistedLines1" w:sz="18" w:space="11" w:color="auto"/>
        <w:right w:val="twistedLines1" w:sz="18" w:space="11" w:color="auto"/>
      </w:pgBorders>
      <w:cols w:num="2" w:space="5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41F1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A3032"/>
    <w:rsid w:val="000B0EAA"/>
    <w:rsid w:val="000B337A"/>
    <w:rsid w:val="000C6C79"/>
    <w:rsid w:val="000D256E"/>
    <w:rsid w:val="000E121D"/>
    <w:rsid w:val="000E5AEB"/>
    <w:rsid w:val="000E7FC3"/>
    <w:rsid w:val="000F2A49"/>
    <w:rsid w:val="000F79BA"/>
    <w:rsid w:val="00100130"/>
    <w:rsid w:val="001262AC"/>
    <w:rsid w:val="00131E80"/>
    <w:rsid w:val="00133A5A"/>
    <w:rsid w:val="00147674"/>
    <w:rsid w:val="00154A6D"/>
    <w:rsid w:val="00157150"/>
    <w:rsid w:val="00157A44"/>
    <w:rsid w:val="00167DF9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680A"/>
    <w:rsid w:val="00256D0E"/>
    <w:rsid w:val="00264CEB"/>
    <w:rsid w:val="00270D6D"/>
    <w:rsid w:val="00271798"/>
    <w:rsid w:val="002911FD"/>
    <w:rsid w:val="00292189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DAB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05D8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66E07"/>
    <w:rsid w:val="00667214"/>
    <w:rsid w:val="00671C09"/>
    <w:rsid w:val="00684E08"/>
    <w:rsid w:val="00686D35"/>
    <w:rsid w:val="00693C15"/>
    <w:rsid w:val="006956B0"/>
    <w:rsid w:val="006A61D0"/>
    <w:rsid w:val="006A64BC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3618"/>
    <w:rsid w:val="007A5325"/>
    <w:rsid w:val="007A55F0"/>
    <w:rsid w:val="007B46E8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24E4"/>
    <w:rsid w:val="00844F46"/>
    <w:rsid w:val="00845505"/>
    <w:rsid w:val="00845A32"/>
    <w:rsid w:val="00852309"/>
    <w:rsid w:val="00853955"/>
    <w:rsid w:val="00854365"/>
    <w:rsid w:val="00857A8F"/>
    <w:rsid w:val="008873E5"/>
    <w:rsid w:val="00896087"/>
    <w:rsid w:val="00896E67"/>
    <w:rsid w:val="008A0FD6"/>
    <w:rsid w:val="008A4093"/>
    <w:rsid w:val="008B7F6D"/>
    <w:rsid w:val="008C0C3D"/>
    <w:rsid w:val="008C12CE"/>
    <w:rsid w:val="008C2327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6409"/>
    <w:rsid w:val="00986F65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27B02"/>
    <w:rsid w:val="00A43B7C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C4EE0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70144"/>
    <w:rsid w:val="00B7164D"/>
    <w:rsid w:val="00B72831"/>
    <w:rsid w:val="00B81223"/>
    <w:rsid w:val="00B814EF"/>
    <w:rsid w:val="00B9121A"/>
    <w:rsid w:val="00B913BD"/>
    <w:rsid w:val="00B91AA6"/>
    <w:rsid w:val="00BA20C9"/>
    <w:rsid w:val="00BB2F61"/>
    <w:rsid w:val="00BC2AA9"/>
    <w:rsid w:val="00BD3FB8"/>
    <w:rsid w:val="00BD4870"/>
    <w:rsid w:val="00BD5BC0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139A8"/>
    <w:rsid w:val="00C22619"/>
    <w:rsid w:val="00C26C5A"/>
    <w:rsid w:val="00C33069"/>
    <w:rsid w:val="00C42258"/>
    <w:rsid w:val="00C4249F"/>
    <w:rsid w:val="00C45717"/>
    <w:rsid w:val="00C45F83"/>
    <w:rsid w:val="00C57475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A6C1D"/>
    <w:rsid w:val="00CB41EE"/>
    <w:rsid w:val="00CB6133"/>
    <w:rsid w:val="00CC06E8"/>
    <w:rsid w:val="00CC07AE"/>
    <w:rsid w:val="00CC11B5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A89"/>
    <w:rsid w:val="00D201FF"/>
    <w:rsid w:val="00D23C83"/>
    <w:rsid w:val="00D3077F"/>
    <w:rsid w:val="00D31E18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7B69"/>
    <w:rsid w:val="00F942C0"/>
    <w:rsid w:val="00F97178"/>
    <w:rsid w:val="00FA0F92"/>
    <w:rsid w:val="00FA1B75"/>
    <w:rsid w:val="00FA625D"/>
    <w:rsid w:val="00FB1470"/>
    <w:rsid w:val="00FB1EA6"/>
    <w:rsid w:val="00FB56B7"/>
    <w:rsid w:val="00FB765B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DD3F"/>
  <w15:docId w15:val="{6BAA632A-75AD-408A-92AE-F5B8E786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paragraph" w:customStyle="1" w:styleId="titleu">
    <w:name w:val="titleu"/>
    <w:basedOn w:val="a"/>
    <w:rsid w:val="00167DF9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167DF9"/>
    <w:pPr>
      <w:ind w:firstLine="567"/>
      <w:jc w:val="both"/>
    </w:pPr>
  </w:style>
  <w:style w:type="paragraph" w:customStyle="1" w:styleId="newncpi">
    <w:name w:val="newncpi"/>
    <w:basedOn w:val="a"/>
    <w:rsid w:val="00167DF9"/>
    <w:pPr>
      <w:ind w:firstLine="567"/>
      <w:jc w:val="both"/>
    </w:pPr>
  </w:style>
  <w:style w:type="paragraph" w:styleId="a5">
    <w:name w:val="No Spacing"/>
    <w:uiPriority w:val="1"/>
    <w:qFormat/>
    <w:rsid w:val="007A3618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BB2F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Михаленя</cp:lastModifiedBy>
  <cp:revision>3</cp:revision>
  <cp:lastPrinted>2019-03-20T06:13:00Z</cp:lastPrinted>
  <dcterms:created xsi:type="dcterms:W3CDTF">2020-05-25T08:17:00Z</dcterms:created>
  <dcterms:modified xsi:type="dcterms:W3CDTF">2020-05-25T08:25:00Z</dcterms:modified>
</cp:coreProperties>
</file>