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40A" w:rsidRPr="005D240A" w:rsidRDefault="005D240A" w:rsidP="00252C64">
      <w:pPr>
        <w:spacing w:before="240" w:after="24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1A1A1A"/>
          <w:sz w:val="30"/>
          <w:szCs w:val="30"/>
          <w:lang w:val="ru-RU"/>
        </w:rPr>
      </w:pPr>
      <w:r w:rsidRPr="005D240A">
        <w:rPr>
          <w:rFonts w:ascii="Times New Roman" w:eastAsia="Times New Roman" w:hAnsi="Times New Roman" w:cs="Times New Roman"/>
          <w:b/>
          <w:color w:val="1A1A1A"/>
          <w:sz w:val="30"/>
          <w:szCs w:val="30"/>
          <w:lang w:val="ru-RU"/>
        </w:rPr>
        <w:t>Вниманию физических лиц, получивших доходы в 2025 году</w:t>
      </w:r>
    </w:p>
    <w:p w:rsidR="000E0EA0" w:rsidRPr="00A72E29" w:rsidRDefault="00B52569" w:rsidP="00B52569">
      <w:pPr>
        <w:spacing w:before="240" w:after="240" w:line="240" w:lineRule="auto"/>
        <w:ind w:firstLine="720"/>
        <w:jc w:val="both"/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</w:pPr>
      <w:r w:rsidRPr="00B52569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 xml:space="preserve">Инспекция Министерства по налогам и сборам Республики Беларусь по </w:t>
      </w:r>
      <w:proofErr w:type="spellStart"/>
      <w:r w:rsidRPr="00B52569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>Солигорскому</w:t>
      </w:r>
      <w:proofErr w:type="spellEnd"/>
      <w:r w:rsidRPr="00B52569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 xml:space="preserve"> району</w:t>
      </w:r>
      <w:r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 xml:space="preserve"> </w:t>
      </w:r>
      <w:r w:rsidRPr="000E0EA0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>информирует</w:t>
      </w:r>
      <w:r w:rsidR="000E0EA0" w:rsidRPr="000E0EA0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>, что срок представления налоговой декларации (расчета) по подоходному налогу с физических лиц (далее – налоговая декларация) в отношении доходов, полученных в 2025 году, не позднее 31 марта 2026 года.</w:t>
      </w:r>
      <w:r w:rsidR="00F82112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F82112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F82112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F82112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F82112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F82112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A72E29" w:rsidRPr="00A72E29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>Налоговую декларацию представляют граждане, получившие в течение 2025 года доходы, подлежащие налогообложению.</w:t>
      </w:r>
      <w:r w:rsidR="00A72E29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A72E29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A72E29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A72E29" w:rsidRPr="00A72E29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>К таким доходам</w:t>
      </w:r>
      <w:r w:rsidR="00F21981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 xml:space="preserve"> относятся доходы</w:t>
      </w:r>
      <w:r w:rsidR="00A122F2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>,</w:t>
      </w:r>
      <w:r w:rsidR="00F21981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 xml:space="preserve"> поименованные в пункте 1 статьи 219 </w:t>
      </w:r>
      <w:r w:rsidR="00F21981" w:rsidRPr="00A72E29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 xml:space="preserve">Налогового </w:t>
      </w:r>
      <w:r w:rsidR="00955783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>к</w:t>
      </w:r>
      <w:r w:rsidR="00F21981" w:rsidRPr="00A72E29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>одекса Республики Беларусь</w:t>
      </w:r>
      <w:r w:rsidR="006E50EE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 xml:space="preserve"> (далее-НК)</w:t>
      </w:r>
      <w:r w:rsidR="00A72E29" w:rsidRPr="00A72E29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>, в том числе:</w:t>
      </w:r>
      <w:r w:rsidR="00F21981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F21981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F21981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F21981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F21981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F21981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F21981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F21981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F21981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F21981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F21981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F21981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A72E29" w:rsidRPr="00A72E29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>-</w:t>
      </w:r>
      <w:r w:rsidR="00522EF6" w:rsidRPr="00522EF6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 xml:space="preserve"> </w:t>
      </w:r>
      <w:r w:rsidR="00A72E29" w:rsidRPr="00A72E29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>доходы, полученные от источников за пределами Республики Беларусь;</w:t>
      </w:r>
      <w:r w:rsidR="003B10AF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3B10AF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3B10AF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3B10AF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3B10AF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3B10AF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3B10AF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3B10AF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3B10AF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3B10AF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3B10AF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252C64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A72E29" w:rsidRPr="00A72E29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>- доходы в виде дарения, полученные от физических лиц (не являющиеся близкими родственниками), если такие доходы превысили</w:t>
      </w:r>
      <w:r w:rsidR="00252C64" w:rsidRPr="00252C64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 xml:space="preserve"> </w:t>
      </w:r>
      <w:r w:rsidR="00A72E29" w:rsidRPr="00A72E29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>11</w:t>
      </w:r>
      <w:r w:rsidR="00536663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 xml:space="preserve"> </w:t>
      </w:r>
      <w:r w:rsidR="00A122F2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>516 белорусских</w:t>
      </w:r>
      <w:r w:rsidR="00A72E29" w:rsidRPr="00A72E29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 xml:space="preserve"> рублей</w:t>
      </w:r>
      <w:r w:rsidR="00252C64" w:rsidRPr="00252C64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 xml:space="preserve"> </w:t>
      </w:r>
      <w:r w:rsidR="00A72E29" w:rsidRPr="00A72E29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>в год;</w:t>
      </w:r>
      <w:r w:rsidR="00A122F2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A122F2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A122F2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A122F2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A122F2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A122F2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A122F2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A122F2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A72E29" w:rsidRPr="00A72E29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>- доходы, полученные от продажи двух и более автомобилей в течение года;</w:t>
      </w:r>
      <w:r w:rsidR="003B10AF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3B10AF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3B10AF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3B10AF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3B10AF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3B10AF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3B10AF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3B10AF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3B10AF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3B10AF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3B10AF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A72E29" w:rsidRPr="00A72E29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>-</w:t>
      </w:r>
      <w:r w:rsidR="00536663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 xml:space="preserve"> </w:t>
      </w:r>
      <w:r w:rsidR="00A72E29" w:rsidRPr="00A72E29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>доходы, полученные от продажи автомобиля, технически допустимая общая масса которого превышает 3500 килограммов и (или) число сидячих мест которого, помимо сиденья водителя, превышает восемь;</w:t>
      </w:r>
      <w:r w:rsidR="003B10AF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3B10AF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3B10AF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3B10AF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3B10AF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3B10AF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3B10AF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3B10AF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bookmarkStart w:id="0" w:name="_GoBack"/>
      <w:bookmarkEnd w:id="0"/>
      <w:r w:rsidR="003B10AF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3B10AF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3B10AF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3B10AF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  <w:t>-</w:t>
      </w:r>
      <w:r w:rsidR="00522EF6" w:rsidRPr="00522EF6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 xml:space="preserve"> </w:t>
      </w:r>
      <w:r w:rsidR="00A72E29" w:rsidRPr="00A72E29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>доходы от продажи или иного возмездного отчуждения (мена, рента и др.) в течение пяти лет</w:t>
      </w:r>
      <w:r w:rsidR="00757EF0" w:rsidRPr="00757EF0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 xml:space="preserve"> </w:t>
      </w:r>
      <w:r w:rsidR="00A72E29" w:rsidRPr="00A72E29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>более одного объекта недвижимости, принадлежащих физическому лицу на праве собственности (доли в праве собственности на указанное имущество), а именно: более</w:t>
      </w:r>
      <w:r w:rsidR="00252C64" w:rsidRPr="00252C64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 xml:space="preserve"> </w:t>
      </w:r>
      <w:r w:rsidR="00A72E29" w:rsidRPr="00A72E29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>одного не завершенного строительством капитального строения, более одной</w:t>
      </w:r>
      <w:r w:rsidR="00252C64" w:rsidRPr="00252C64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 xml:space="preserve"> </w:t>
      </w:r>
      <w:r w:rsidR="00A72E29" w:rsidRPr="00A72E29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>квартиры, более одного</w:t>
      </w:r>
      <w:r w:rsidR="00252C64" w:rsidRPr="00252C64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 xml:space="preserve"> </w:t>
      </w:r>
      <w:r w:rsidR="00A72E29" w:rsidRPr="00A72E29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>жилого дома, более одной</w:t>
      </w:r>
      <w:r w:rsidR="00252C64" w:rsidRPr="00252C64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 xml:space="preserve"> </w:t>
      </w:r>
      <w:r w:rsidR="00A72E29" w:rsidRPr="00A72E29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>дачи, более одного</w:t>
      </w:r>
      <w:r w:rsidR="00252C64" w:rsidRPr="00252C64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 xml:space="preserve"> </w:t>
      </w:r>
      <w:r w:rsidR="00A72E29" w:rsidRPr="00A72E29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>садового домика</w:t>
      </w:r>
      <w:r w:rsidR="008E4251" w:rsidRPr="008E4251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 xml:space="preserve"> </w:t>
      </w:r>
      <w:r w:rsidR="00A72E29" w:rsidRPr="00A72E29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>с хозяйственными постройками (при их наличии), более одного</w:t>
      </w:r>
      <w:r w:rsidR="008E4251" w:rsidRPr="008E4251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 xml:space="preserve"> </w:t>
      </w:r>
      <w:r w:rsidR="00A72E29" w:rsidRPr="00A72E29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>гаража, более одного</w:t>
      </w:r>
      <w:r w:rsidR="008E4251" w:rsidRPr="008E4251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 xml:space="preserve"> </w:t>
      </w:r>
      <w:proofErr w:type="spellStart"/>
      <w:r w:rsidR="00A72E29" w:rsidRPr="00A72E29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>машино</w:t>
      </w:r>
      <w:proofErr w:type="spellEnd"/>
      <w:r w:rsidR="00A72E29" w:rsidRPr="00A72E29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>-места, более одного</w:t>
      </w:r>
      <w:r w:rsidR="000A52BA" w:rsidRPr="005D240A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 xml:space="preserve"> </w:t>
      </w:r>
      <w:r w:rsidR="00A72E29" w:rsidRPr="00A72E29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>земельного участка;</w:t>
      </w:r>
      <w:r w:rsidR="00252C64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252C64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252C64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252C64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252C64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252C64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252C64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252C64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252C64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8E4251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8E4251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8E4251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A72E29" w:rsidRPr="00A72E29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>-</w:t>
      </w:r>
      <w:r w:rsidR="00522EF6" w:rsidRPr="00522EF6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 xml:space="preserve"> </w:t>
      </w:r>
      <w:r w:rsidR="00A72E29" w:rsidRPr="00A72E29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 xml:space="preserve">доходы, подлежащие налогообложению по ставке подоходного налога, установленной пунктом 1 статьи 214 </w:t>
      </w:r>
      <w:r w:rsidR="002D00CA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>НК</w:t>
      </w:r>
      <w:r w:rsidR="00A72E29" w:rsidRPr="00A72E29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 xml:space="preserve"> и полученные от источников в Республике Беларусь в виде дивидендов, по трудовым договорам, а также по гражданско-правовым договорам, предметом которых является выполнение работ, оказание услуг и создание объектов интеллектуальной собственности, отчуждение имущественных прав на них, если такие доходы за 2025 год превысили в совокупности 220 000 белорусских рублей;</w:t>
      </w:r>
      <w:r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A72E29" w:rsidRPr="00A72E29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 xml:space="preserve">- другие доходы, если обязанность по удержанию подоходного </w:t>
      </w:r>
      <w:r w:rsidR="00A72E29" w:rsidRPr="00A72E29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lastRenderedPageBreak/>
        <w:t>налога не возложена на источник выплаты дохода.</w:t>
      </w:r>
      <w:r w:rsidR="008E4251" w:rsidRPr="008E4251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 xml:space="preserve"> </w:t>
      </w:r>
      <w:r w:rsidR="008E4251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8E4251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8E4251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8E4251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0E0EA0" w:rsidRPr="00A72E29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>Налоговую декларацию можно представить в электронном виде через «Личный кабинет плательщика», по почте, лично в любую инспекцию</w:t>
      </w:r>
      <w:r w:rsidR="00536663" w:rsidRPr="00536663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 xml:space="preserve"> </w:t>
      </w:r>
      <w:r w:rsidR="00536663" w:rsidRPr="00B52569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>Министерства по налогам и сборам Республики Беларусь</w:t>
      </w:r>
      <w:r w:rsidR="000E0EA0" w:rsidRPr="00A72E29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>, независимо от места регистрации физического лица.</w:t>
      </w:r>
      <w:r w:rsidR="00536663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536663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536663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536663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0E0EA0" w:rsidRPr="00A72E29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>Более подробную информацию можно получить на официальном сайте Министерства по налогам и сборам</w:t>
      </w:r>
      <w:r w:rsidR="008E4251" w:rsidRPr="008E4251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 xml:space="preserve"> </w:t>
      </w:r>
      <w:r w:rsidR="008E4251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 xml:space="preserve">Республики Беларусь </w:t>
      </w:r>
      <w:hyperlink r:id="rId4" w:history="1">
        <w:r w:rsidR="000E0EA0" w:rsidRPr="00A72E29">
          <w:rPr>
            <w:rStyle w:val="a3"/>
            <w:rFonts w:ascii="Times New Roman" w:eastAsia="Times New Roman" w:hAnsi="Times New Roman" w:cs="Times New Roman"/>
            <w:sz w:val="30"/>
            <w:szCs w:val="30"/>
            <w:bdr w:val="none" w:sz="0" w:space="0" w:color="auto" w:frame="1"/>
            <w:lang w:val="en-US"/>
          </w:rPr>
          <w:t>https</w:t>
        </w:r>
        <w:r w:rsidR="000E0EA0" w:rsidRPr="00A72E29">
          <w:rPr>
            <w:rStyle w:val="a3"/>
            <w:rFonts w:ascii="Times New Roman" w:eastAsia="Times New Roman" w:hAnsi="Times New Roman" w:cs="Times New Roman"/>
            <w:sz w:val="30"/>
            <w:szCs w:val="30"/>
            <w:bdr w:val="none" w:sz="0" w:space="0" w:color="auto" w:frame="1"/>
            <w:lang w:val="ru-RU"/>
          </w:rPr>
          <w:t>://</w:t>
        </w:r>
        <w:r w:rsidR="000E0EA0" w:rsidRPr="00A72E29">
          <w:rPr>
            <w:rStyle w:val="a3"/>
            <w:rFonts w:ascii="Times New Roman" w:eastAsia="Times New Roman" w:hAnsi="Times New Roman" w:cs="Times New Roman"/>
            <w:sz w:val="30"/>
            <w:szCs w:val="30"/>
            <w:bdr w:val="none" w:sz="0" w:space="0" w:color="auto" w:frame="1"/>
            <w:lang w:val="en-US"/>
          </w:rPr>
          <w:t>www</w:t>
        </w:r>
        <w:r w:rsidR="000E0EA0" w:rsidRPr="00A72E29">
          <w:rPr>
            <w:rStyle w:val="a3"/>
            <w:rFonts w:ascii="Times New Roman" w:eastAsia="Times New Roman" w:hAnsi="Times New Roman" w:cs="Times New Roman"/>
            <w:sz w:val="30"/>
            <w:szCs w:val="30"/>
            <w:bdr w:val="none" w:sz="0" w:space="0" w:color="auto" w:frame="1"/>
            <w:lang w:val="ru-RU"/>
          </w:rPr>
          <w:t>.</w:t>
        </w:r>
        <w:proofErr w:type="spellStart"/>
        <w:r w:rsidR="000E0EA0" w:rsidRPr="00A72E29">
          <w:rPr>
            <w:rStyle w:val="a3"/>
            <w:rFonts w:ascii="Times New Roman" w:eastAsia="Times New Roman" w:hAnsi="Times New Roman" w:cs="Times New Roman"/>
            <w:sz w:val="30"/>
            <w:szCs w:val="30"/>
            <w:bdr w:val="none" w:sz="0" w:space="0" w:color="auto" w:frame="1"/>
            <w:lang w:val="en-US"/>
          </w:rPr>
          <w:t>nalog</w:t>
        </w:r>
        <w:proofErr w:type="spellEnd"/>
        <w:r w:rsidR="000E0EA0" w:rsidRPr="00A72E29">
          <w:rPr>
            <w:rStyle w:val="a3"/>
            <w:rFonts w:ascii="Times New Roman" w:eastAsia="Times New Roman" w:hAnsi="Times New Roman" w:cs="Times New Roman"/>
            <w:sz w:val="30"/>
            <w:szCs w:val="30"/>
            <w:bdr w:val="none" w:sz="0" w:space="0" w:color="auto" w:frame="1"/>
            <w:lang w:val="ru-RU"/>
          </w:rPr>
          <w:t>.</w:t>
        </w:r>
        <w:proofErr w:type="spellStart"/>
        <w:r w:rsidR="000E0EA0" w:rsidRPr="00A72E29">
          <w:rPr>
            <w:rStyle w:val="a3"/>
            <w:rFonts w:ascii="Times New Roman" w:eastAsia="Times New Roman" w:hAnsi="Times New Roman" w:cs="Times New Roman"/>
            <w:sz w:val="30"/>
            <w:szCs w:val="30"/>
            <w:bdr w:val="none" w:sz="0" w:space="0" w:color="auto" w:frame="1"/>
            <w:lang w:val="en-US"/>
          </w:rPr>
          <w:t>gov</w:t>
        </w:r>
        <w:proofErr w:type="spellEnd"/>
        <w:r w:rsidR="000E0EA0" w:rsidRPr="00A72E29">
          <w:rPr>
            <w:rStyle w:val="a3"/>
            <w:rFonts w:ascii="Times New Roman" w:eastAsia="Times New Roman" w:hAnsi="Times New Roman" w:cs="Times New Roman"/>
            <w:sz w:val="30"/>
            <w:szCs w:val="30"/>
            <w:bdr w:val="none" w:sz="0" w:space="0" w:color="auto" w:frame="1"/>
            <w:lang w:val="ru-RU"/>
          </w:rPr>
          <w:t>.</w:t>
        </w:r>
        <w:r w:rsidR="000E0EA0" w:rsidRPr="00A72E29">
          <w:rPr>
            <w:rStyle w:val="a3"/>
            <w:rFonts w:ascii="Times New Roman" w:eastAsia="Times New Roman" w:hAnsi="Times New Roman" w:cs="Times New Roman"/>
            <w:sz w:val="30"/>
            <w:szCs w:val="30"/>
            <w:bdr w:val="none" w:sz="0" w:space="0" w:color="auto" w:frame="1"/>
            <w:lang w:val="en-US"/>
          </w:rPr>
          <w:t>by</w:t>
        </w:r>
      </w:hyperlink>
      <w:r w:rsidR="00F82112" w:rsidRPr="00A72E29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>.</w:t>
      </w:r>
    </w:p>
    <w:p w:rsidR="002E0AD0" w:rsidRPr="000E0EA0" w:rsidRDefault="002E0AD0" w:rsidP="003B10AF">
      <w:pPr>
        <w:spacing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sectPr w:rsidR="002E0AD0" w:rsidRPr="000E0E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029"/>
    <w:rsid w:val="000A52BA"/>
    <w:rsid w:val="000E0EA0"/>
    <w:rsid w:val="001C0029"/>
    <w:rsid w:val="00252C64"/>
    <w:rsid w:val="002D00CA"/>
    <w:rsid w:val="002E0AD0"/>
    <w:rsid w:val="003B10AF"/>
    <w:rsid w:val="00522EF6"/>
    <w:rsid w:val="00536663"/>
    <w:rsid w:val="005D240A"/>
    <w:rsid w:val="006E50EE"/>
    <w:rsid w:val="00757EF0"/>
    <w:rsid w:val="008E4251"/>
    <w:rsid w:val="00955783"/>
    <w:rsid w:val="00A122F2"/>
    <w:rsid w:val="00A72E29"/>
    <w:rsid w:val="00B52569"/>
    <w:rsid w:val="00BE45E3"/>
    <w:rsid w:val="00F21981"/>
    <w:rsid w:val="00F82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CCFF5"/>
  <w15:chartTrackingRefBased/>
  <w15:docId w15:val="{F14BC987-5C34-4403-A72E-51BA9C304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EA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E0EA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525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525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62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alog.gov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Масюк Юлия Александровна</dc:creator>
  <cp:keywords/>
  <dc:description/>
  <cp:lastModifiedBy>Масюк Юлия Александровна</cp:lastModifiedBy>
  <cp:revision>25</cp:revision>
  <cp:lastPrinted>2026-02-13T09:42:00Z</cp:lastPrinted>
  <dcterms:created xsi:type="dcterms:W3CDTF">2026-02-12T13:33:00Z</dcterms:created>
  <dcterms:modified xsi:type="dcterms:W3CDTF">2026-02-13T09:43:00Z</dcterms:modified>
</cp:coreProperties>
</file>